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241" w:rsidRDefault="00965241">
      <w:pPr>
        <w:widowControl/>
        <w:tabs>
          <w:tab w:val="center" w:pos="4680"/>
        </w:tabs>
        <w:jc w:val="both"/>
        <w:rPr>
          <w:sz w:val="24"/>
        </w:rPr>
      </w:pPr>
      <w:r>
        <w:rPr>
          <w:sz w:val="24"/>
        </w:rPr>
        <w:tab/>
      </w:r>
      <w:r>
        <w:rPr>
          <w:b/>
          <w:bCs/>
          <w:sz w:val="24"/>
        </w:rPr>
        <w:t>INTERSCHOLASTIC ATHLETICS</w:t>
      </w:r>
    </w:p>
    <w:p w:rsidR="00965241" w:rsidRDefault="00965241">
      <w:pPr>
        <w:widowControl/>
        <w:jc w:val="both"/>
        <w:rPr>
          <w:sz w:val="24"/>
        </w:rPr>
      </w:pPr>
    </w:p>
    <w:p w:rsidR="00965241" w:rsidRDefault="00965241">
      <w:pPr>
        <w:widowControl/>
        <w:jc w:val="both"/>
        <w:rPr>
          <w:sz w:val="24"/>
        </w:rPr>
      </w:pPr>
      <w:r>
        <w:rPr>
          <w:sz w:val="24"/>
        </w:rPr>
        <w:t>The Board of Education believes that individual students shall have opportunities to grow physically and intellectually through experience in self-discipline and contribution to a team effort made possible through competitive interscholastic athletics.  An interscholastic athletic program shall be conducted in the school district to further the development of students as competitors and spectators through friendly interschool contests.  The purpose of the program is to develop leadership, good sportsmanship, personality development, new friendships and a friendly rivalry with other schools.</w:t>
      </w:r>
    </w:p>
    <w:p w:rsidR="00965241" w:rsidRDefault="00965241">
      <w:pPr>
        <w:widowControl/>
        <w:jc w:val="both"/>
        <w:rPr>
          <w:sz w:val="24"/>
        </w:rPr>
      </w:pPr>
    </w:p>
    <w:p w:rsidR="00965241" w:rsidRDefault="00965241">
      <w:pPr>
        <w:widowControl/>
        <w:jc w:val="both"/>
        <w:rPr>
          <w:sz w:val="24"/>
        </w:rPr>
      </w:pPr>
      <w:r>
        <w:rPr>
          <w:sz w:val="24"/>
        </w:rPr>
        <w:t>The Board will provide interscholastic athletic competition for secondary school students in a variety of sports.  Students will be allowed to participate in the individual sports on the basis of physical condition and desire.  Qualified professional staff will be provided for coaching, and for the supervision of all athletic events.</w:t>
      </w:r>
    </w:p>
    <w:p w:rsidR="00965241" w:rsidRDefault="00965241">
      <w:pPr>
        <w:widowControl/>
        <w:jc w:val="both"/>
        <w:rPr>
          <w:sz w:val="24"/>
        </w:rPr>
      </w:pPr>
    </w:p>
    <w:p w:rsidR="00965241" w:rsidRDefault="00965241">
      <w:pPr>
        <w:widowControl/>
        <w:tabs>
          <w:tab w:val="center" w:pos="4680"/>
        </w:tabs>
        <w:jc w:val="both"/>
        <w:rPr>
          <w:sz w:val="24"/>
        </w:rPr>
      </w:pPr>
      <w:r>
        <w:rPr>
          <w:sz w:val="24"/>
        </w:rPr>
        <w:tab/>
        <w:t>* * * * * * *</w:t>
      </w:r>
    </w:p>
    <w:p w:rsidR="00965241" w:rsidRDefault="00965241">
      <w:pPr>
        <w:widowControl/>
        <w:jc w:val="both"/>
        <w:rPr>
          <w:sz w:val="24"/>
        </w:rPr>
      </w:pPr>
    </w:p>
    <w:tbl>
      <w:tblPr>
        <w:tblW w:w="0" w:type="auto"/>
        <w:jc w:val="center"/>
        <w:tblLayout w:type="fixed"/>
        <w:tblCellMar>
          <w:left w:w="120" w:type="dxa"/>
          <w:right w:w="120" w:type="dxa"/>
        </w:tblCellMar>
        <w:tblLook w:val="0000"/>
      </w:tblPr>
      <w:tblGrid>
        <w:gridCol w:w="9360"/>
      </w:tblGrid>
      <w:tr w:rsidR="00965241">
        <w:tblPrEx>
          <w:tblCellMar>
            <w:top w:w="0" w:type="dxa"/>
            <w:bottom w:w="0" w:type="dxa"/>
          </w:tblCellMar>
        </w:tblPrEx>
        <w:trPr>
          <w:jc w:val="center"/>
        </w:trPr>
        <w:tc>
          <w:tcPr>
            <w:tcW w:w="9360" w:type="dxa"/>
            <w:tcBorders>
              <w:top w:val="single" w:sz="7" w:space="0" w:color="000000"/>
              <w:left w:val="single" w:sz="7" w:space="0" w:color="000000"/>
              <w:bottom w:val="single" w:sz="7" w:space="0" w:color="000000"/>
              <w:right w:val="single" w:sz="7" w:space="0" w:color="000000"/>
            </w:tcBorders>
            <w:shd w:val="pct5" w:color="000000" w:fill="FFFFFF"/>
          </w:tcPr>
          <w:p w:rsidR="00965241" w:rsidRDefault="00965241">
            <w:pPr>
              <w:spacing w:line="120" w:lineRule="exact"/>
              <w:rPr>
                <w:sz w:val="24"/>
              </w:rPr>
            </w:pPr>
          </w:p>
          <w:p w:rsidR="00965241" w:rsidRDefault="00965241">
            <w:pPr>
              <w:widowControl/>
              <w:tabs>
                <w:tab w:val="left" w:pos="-1440"/>
              </w:tabs>
              <w:spacing w:after="58"/>
              <w:ind w:left="720" w:hanging="720"/>
              <w:rPr>
                <w:sz w:val="24"/>
              </w:rPr>
            </w:pPr>
            <w:r>
              <w:rPr>
                <w:b/>
                <w:bCs/>
                <w:i/>
                <w:iCs/>
                <w:sz w:val="24"/>
              </w:rPr>
              <w:t>Note:</w:t>
            </w:r>
            <w:r>
              <w:rPr>
                <w:b/>
                <w:bCs/>
                <w:i/>
                <w:iCs/>
                <w:sz w:val="24"/>
              </w:rPr>
              <w:tab/>
              <w:t>The reader is encouraged to check the index located at the beginning of this section for other pertinent policies and to review administrative procedures and/or forms for related information.</w:t>
            </w:r>
          </w:p>
        </w:tc>
      </w:tr>
    </w:tbl>
    <w:p w:rsidR="00965241" w:rsidRDefault="00965241">
      <w:pPr>
        <w:widowControl/>
        <w:jc w:val="both"/>
        <w:rPr>
          <w:sz w:val="24"/>
        </w:rPr>
      </w:pPr>
    </w:p>
    <w:p w:rsidR="00965241" w:rsidRDefault="00965241">
      <w:pPr>
        <w:widowControl/>
        <w:tabs>
          <w:tab w:val="left" w:pos="-1440"/>
        </w:tabs>
        <w:ind w:left="1440" w:hanging="1440"/>
        <w:jc w:val="both"/>
        <w:rPr>
          <w:sz w:val="24"/>
        </w:rPr>
      </w:pPr>
      <w:r>
        <w:rPr>
          <w:sz w:val="24"/>
        </w:rPr>
        <w:t>Adopted:</w:t>
      </w:r>
      <w:r>
        <w:rPr>
          <w:sz w:val="24"/>
        </w:rPr>
        <w:tab/>
        <w:t>August 14, 2000</w:t>
      </w:r>
    </w:p>
    <w:p w:rsidR="00965241" w:rsidRDefault="00965241">
      <w:pPr>
        <w:widowControl/>
        <w:jc w:val="both"/>
        <w:rPr>
          <w:sz w:val="24"/>
        </w:rPr>
      </w:pPr>
    </w:p>
    <w:p w:rsidR="00965241" w:rsidRDefault="00965241">
      <w:pPr>
        <w:widowControl/>
        <w:tabs>
          <w:tab w:val="left" w:pos="-1440"/>
        </w:tabs>
        <w:ind w:left="1440" w:hanging="1440"/>
        <w:jc w:val="both"/>
        <w:rPr>
          <w:sz w:val="24"/>
        </w:rPr>
      </w:pPr>
      <w:r>
        <w:rPr>
          <w:sz w:val="24"/>
        </w:rPr>
        <w:t>Cross Refs:</w:t>
      </w:r>
      <w:r>
        <w:rPr>
          <w:sz w:val="24"/>
        </w:rPr>
        <w:tab/>
        <w:t>AC, Nondiscrimination and Anti-Harassment</w:t>
      </w:r>
    </w:p>
    <w:p w:rsidR="00965241" w:rsidRDefault="00965241">
      <w:pPr>
        <w:widowControl/>
        <w:ind w:left="1440"/>
        <w:jc w:val="both"/>
        <w:rPr>
          <w:sz w:val="24"/>
        </w:rPr>
      </w:pPr>
      <w:r>
        <w:rPr>
          <w:sz w:val="24"/>
        </w:rPr>
        <w:t>JFCA, Student Dress Code</w:t>
      </w:r>
    </w:p>
    <w:p w:rsidR="00965241" w:rsidRDefault="00965241">
      <w:pPr>
        <w:widowControl/>
        <w:ind w:left="1440"/>
        <w:jc w:val="both"/>
        <w:rPr>
          <w:sz w:val="24"/>
        </w:rPr>
      </w:pPr>
      <w:r>
        <w:rPr>
          <w:sz w:val="24"/>
        </w:rPr>
        <w:t>JFCF, Hazing and Bullying</w:t>
      </w:r>
    </w:p>
    <w:p w:rsidR="00965241" w:rsidRDefault="00965241">
      <w:pPr>
        <w:widowControl/>
        <w:jc w:val="both"/>
        <w:rPr>
          <w:sz w:val="24"/>
        </w:rPr>
      </w:pPr>
    </w:p>
    <w:p w:rsidR="00965241" w:rsidRDefault="00965241">
      <w:pPr>
        <w:widowControl/>
        <w:jc w:val="both"/>
        <w:rPr>
          <w:sz w:val="24"/>
        </w:rPr>
      </w:pPr>
      <w:r>
        <w:rPr>
          <w:sz w:val="24"/>
        </w:rPr>
        <w:t>Jefferson C-123 School District, Conception Junction, Missouri</w:t>
      </w:r>
    </w:p>
    <w:p w:rsidR="00965241" w:rsidRDefault="00965241">
      <w:pPr>
        <w:widowControl/>
        <w:jc w:val="both"/>
        <w:rPr>
          <w:sz w:val="24"/>
        </w:rPr>
      </w:pPr>
    </w:p>
    <w:p w:rsidR="00CA6337" w:rsidRDefault="00CA6337" w:rsidP="00965241">
      <w:pPr>
        <w:widowControl/>
        <w:jc w:val="center"/>
        <w:rPr>
          <w:b/>
          <w:sz w:val="24"/>
        </w:rPr>
      </w:pPr>
    </w:p>
    <w:p w:rsidR="00CA6337" w:rsidRDefault="00CA6337" w:rsidP="00965241">
      <w:pPr>
        <w:widowControl/>
        <w:jc w:val="center"/>
        <w:rPr>
          <w:b/>
          <w:sz w:val="24"/>
        </w:rPr>
      </w:pPr>
    </w:p>
    <w:p w:rsidR="00965241" w:rsidRDefault="00965241" w:rsidP="00965241">
      <w:pPr>
        <w:widowControl/>
        <w:jc w:val="center"/>
        <w:rPr>
          <w:b/>
          <w:sz w:val="24"/>
        </w:rPr>
      </w:pPr>
      <w:r>
        <w:rPr>
          <w:b/>
          <w:sz w:val="24"/>
        </w:rPr>
        <w:t>Policy for Athletics</w:t>
      </w:r>
    </w:p>
    <w:p w:rsidR="00965241" w:rsidRDefault="00965241" w:rsidP="00965241">
      <w:pPr>
        <w:widowControl/>
        <w:jc w:val="center"/>
        <w:rPr>
          <w:b/>
          <w:sz w:val="24"/>
        </w:rPr>
      </w:pPr>
    </w:p>
    <w:p w:rsidR="00965241" w:rsidRDefault="00965241" w:rsidP="00965241">
      <w:pPr>
        <w:widowControl/>
        <w:rPr>
          <w:sz w:val="24"/>
        </w:rPr>
      </w:pPr>
      <w:r>
        <w:rPr>
          <w:sz w:val="24"/>
        </w:rPr>
        <w:t>The Jefferson C-123 school district will offer one Varsity girls sport and one Varsity boys sport per season. The same number of sports will be offered for boys and girls at the junior high level. The seasons are defined as follows: there is a fall season, a winter season, and a spring season.</w:t>
      </w:r>
    </w:p>
    <w:p w:rsidR="00965241" w:rsidRDefault="00965241" w:rsidP="00965241">
      <w:pPr>
        <w:widowControl/>
        <w:rPr>
          <w:sz w:val="24"/>
        </w:rPr>
      </w:pPr>
    </w:p>
    <w:p w:rsidR="00CA6337" w:rsidRDefault="00CA6337" w:rsidP="00965241">
      <w:pPr>
        <w:widowControl/>
        <w:jc w:val="center"/>
        <w:rPr>
          <w:b/>
          <w:sz w:val="24"/>
        </w:rPr>
      </w:pPr>
    </w:p>
    <w:p w:rsidR="00CA6337" w:rsidRDefault="00CA6337" w:rsidP="00965241">
      <w:pPr>
        <w:widowControl/>
        <w:jc w:val="center"/>
        <w:rPr>
          <w:b/>
          <w:sz w:val="24"/>
        </w:rPr>
      </w:pPr>
    </w:p>
    <w:p w:rsidR="00CA6337" w:rsidRDefault="00CA6337" w:rsidP="00965241">
      <w:pPr>
        <w:widowControl/>
        <w:jc w:val="center"/>
        <w:rPr>
          <w:b/>
          <w:sz w:val="24"/>
        </w:rPr>
      </w:pPr>
    </w:p>
    <w:p w:rsidR="00CA6337" w:rsidRDefault="00CA6337" w:rsidP="00965241">
      <w:pPr>
        <w:widowControl/>
        <w:jc w:val="center"/>
        <w:rPr>
          <w:b/>
          <w:sz w:val="24"/>
        </w:rPr>
      </w:pPr>
    </w:p>
    <w:p w:rsidR="00965241" w:rsidRDefault="00965241" w:rsidP="00965241">
      <w:pPr>
        <w:widowControl/>
        <w:jc w:val="center"/>
        <w:rPr>
          <w:b/>
          <w:sz w:val="24"/>
        </w:rPr>
      </w:pPr>
      <w:r>
        <w:rPr>
          <w:b/>
          <w:sz w:val="24"/>
        </w:rPr>
        <w:t>Cooperative Athletics</w:t>
      </w:r>
    </w:p>
    <w:p w:rsidR="00965241" w:rsidRDefault="00965241" w:rsidP="00965241">
      <w:pPr>
        <w:widowControl/>
        <w:jc w:val="center"/>
        <w:rPr>
          <w:b/>
          <w:sz w:val="24"/>
        </w:rPr>
      </w:pPr>
    </w:p>
    <w:p w:rsidR="00965241" w:rsidRDefault="00965241" w:rsidP="00965241">
      <w:pPr>
        <w:widowControl/>
        <w:rPr>
          <w:sz w:val="24"/>
        </w:rPr>
      </w:pPr>
      <w:r>
        <w:rPr>
          <w:sz w:val="24"/>
        </w:rPr>
        <w:t xml:space="preserve">The MSHSAA does allow two schools to cooperatively sponsor an activity. A cooperative agreement must be entered into with a neighboring school district. Both Boards of Education must agree </w:t>
      </w:r>
      <w:r w:rsidR="00CA6337">
        <w:rPr>
          <w:sz w:val="24"/>
        </w:rPr>
        <w:t>to the merger. After an agreement is reached paperwork must be submitted to MSHSAA with the cooperative proposal. At that time MSHSAA must approve the proposal. An agreement for high school is for two years and for junior high one year.</w:t>
      </w:r>
    </w:p>
    <w:p w:rsidR="00CA6337" w:rsidRDefault="00CA6337" w:rsidP="00965241">
      <w:pPr>
        <w:widowControl/>
        <w:rPr>
          <w:sz w:val="24"/>
        </w:rPr>
      </w:pPr>
    </w:p>
    <w:p w:rsidR="00CA6337" w:rsidRDefault="00CA6337" w:rsidP="00965241">
      <w:pPr>
        <w:widowControl/>
        <w:rPr>
          <w:sz w:val="24"/>
        </w:rPr>
      </w:pPr>
      <w:r>
        <w:rPr>
          <w:sz w:val="24"/>
        </w:rPr>
        <w:t>In the event that the district can’t offer one sport per season because of lack of numbers then a cooperative agreement may be looked into in order to sustain the program.</w:t>
      </w:r>
    </w:p>
    <w:p w:rsidR="00CA6337" w:rsidRDefault="00CA6337" w:rsidP="00965241">
      <w:pPr>
        <w:widowControl/>
        <w:rPr>
          <w:sz w:val="24"/>
        </w:rPr>
      </w:pPr>
    </w:p>
    <w:p w:rsidR="00CA6337" w:rsidRDefault="00CA6337" w:rsidP="00965241">
      <w:pPr>
        <w:widowControl/>
        <w:rPr>
          <w:sz w:val="24"/>
        </w:rPr>
      </w:pPr>
      <w:r>
        <w:rPr>
          <w:sz w:val="24"/>
        </w:rPr>
        <w:t>In addition to the activities offered the district will consider other cooperative agreements as requested. If a person wishes for a cooperative sponsorship to be considered they must present their proposal in writing to the Athletic Director or High School Principal.</w:t>
      </w:r>
    </w:p>
    <w:p w:rsidR="00CA6337" w:rsidRDefault="00CA6337" w:rsidP="00965241">
      <w:pPr>
        <w:widowControl/>
        <w:rPr>
          <w:sz w:val="24"/>
        </w:rPr>
      </w:pPr>
    </w:p>
    <w:p w:rsidR="00CA6337" w:rsidRDefault="00CA6337" w:rsidP="00965241">
      <w:pPr>
        <w:widowControl/>
        <w:rPr>
          <w:sz w:val="24"/>
        </w:rPr>
      </w:pPr>
      <w:r>
        <w:rPr>
          <w:sz w:val="24"/>
        </w:rPr>
        <w:t>Each person must understand if the district enters into a cooperative agreement for an activity with another district, our students will be participating on another school’s team. They will be responsible for transporting themselves to all practices and games. The rules set forth by the cooperating school district will govern the activity. Any fees associated with participation will be the responsibility of the participating student. If additional equipment is needed for the activity the cost associated with obtaining it will be the responsibility of the student.</w:t>
      </w:r>
    </w:p>
    <w:p w:rsidR="00CA6337" w:rsidRDefault="00CA6337" w:rsidP="00965241">
      <w:pPr>
        <w:widowControl/>
        <w:rPr>
          <w:sz w:val="24"/>
        </w:rPr>
      </w:pPr>
    </w:p>
    <w:p w:rsidR="00CA6337" w:rsidRDefault="00CA6337" w:rsidP="00965241">
      <w:pPr>
        <w:widowControl/>
        <w:rPr>
          <w:sz w:val="24"/>
        </w:rPr>
      </w:pPr>
      <w:r>
        <w:rPr>
          <w:sz w:val="24"/>
        </w:rPr>
        <w:t>The board will look at each case individually and consider exceptions to this policy based on circumstances provided.</w:t>
      </w:r>
    </w:p>
    <w:p w:rsidR="00CA6337" w:rsidRDefault="00CA6337" w:rsidP="00965241">
      <w:pPr>
        <w:widowControl/>
        <w:rPr>
          <w:sz w:val="24"/>
        </w:rPr>
      </w:pPr>
    </w:p>
    <w:p w:rsidR="00CA6337" w:rsidRDefault="00CA6337" w:rsidP="00965241">
      <w:pPr>
        <w:widowControl/>
        <w:rPr>
          <w:sz w:val="24"/>
        </w:rPr>
      </w:pPr>
    </w:p>
    <w:p w:rsidR="00CA6337" w:rsidRDefault="00CA6337" w:rsidP="00CA6337">
      <w:pPr>
        <w:widowControl/>
        <w:ind w:left="720"/>
        <w:jc w:val="center"/>
        <w:rPr>
          <w:sz w:val="24"/>
        </w:rPr>
      </w:pPr>
      <w:r>
        <w:rPr>
          <w:sz w:val="24"/>
        </w:rPr>
        <w:t>* * * * * *</w:t>
      </w:r>
      <w:r w:rsidR="00F84E3E">
        <w:rPr>
          <w:sz w:val="24"/>
        </w:rPr>
        <w:t xml:space="preserve"> *</w:t>
      </w:r>
    </w:p>
    <w:p w:rsidR="00CA6337" w:rsidRDefault="00CA6337" w:rsidP="00CA6337">
      <w:pPr>
        <w:widowControl/>
        <w:jc w:val="center"/>
        <w:rPr>
          <w:sz w:val="24"/>
        </w:rPr>
      </w:pPr>
    </w:p>
    <w:p w:rsidR="00CA6337" w:rsidRDefault="00CA6337" w:rsidP="00CA6337">
      <w:pPr>
        <w:widowControl/>
        <w:rPr>
          <w:sz w:val="24"/>
        </w:rPr>
      </w:pPr>
      <w:r>
        <w:rPr>
          <w:sz w:val="24"/>
        </w:rPr>
        <w:t>Approved:</w:t>
      </w:r>
      <w:r>
        <w:rPr>
          <w:sz w:val="24"/>
        </w:rPr>
        <w:tab/>
        <w:t>October 15, 2007</w:t>
      </w:r>
    </w:p>
    <w:p w:rsidR="00CA6337" w:rsidRDefault="00CA6337" w:rsidP="00CA6337">
      <w:pPr>
        <w:widowControl/>
        <w:rPr>
          <w:sz w:val="24"/>
        </w:rPr>
      </w:pPr>
    </w:p>
    <w:p w:rsidR="00CA6337" w:rsidRPr="00965241" w:rsidRDefault="00CA6337" w:rsidP="00CA6337">
      <w:pPr>
        <w:widowControl/>
        <w:rPr>
          <w:sz w:val="24"/>
        </w:rPr>
      </w:pPr>
      <w:r>
        <w:rPr>
          <w:sz w:val="24"/>
        </w:rPr>
        <w:t>Jefferson C-124 School District, Conception Junction, Missouri</w:t>
      </w:r>
    </w:p>
    <w:p w:rsidR="00965241" w:rsidRDefault="00965241" w:rsidP="00965241">
      <w:pPr>
        <w:widowControl/>
        <w:jc w:val="center"/>
        <w:rPr>
          <w:b/>
          <w:sz w:val="24"/>
        </w:rPr>
      </w:pPr>
    </w:p>
    <w:p w:rsidR="00965241" w:rsidRPr="00965241" w:rsidRDefault="00965241" w:rsidP="00965241">
      <w:pPr>
        <w:widowControl/>
        <w:rPr>
          <w:sz w:val="24"/>
        </w:rPr>
      </w:pPr>
    </w:p>
    <w:sectPr w:rsidR="00965241" w:rsidRPr="00965241">
      <w:headerReference w:type="even" r:id="rId7"/>
      <w:headerReference w:type="default" r:id="rId8"/>
      <w:footerReference w:type="even" r:id="rId9"/>
      <w:footerReference w:type="default" r:id="rId10"/>
      <w:endnotePr>
        <w:numFmt w:val="decimal"/>
      </w:endnotePr>
      <w:pgSz w:w="12240" w:h="15840"/>
      <w:pgMar w:top="1440" w:right="1440" w:bottom="720" w:left="1440" w:header="144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241" w:rsidRDefault="00965241">
      <w:r>
        <w:separator/>
      </w:r>
    </w:p>
  </w:endnote>
  <w:endnote w:type="continuationSeparator" w:id="0">
    <w:p w:rsidR="00965241" w:rsidRDefault="009652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2020603050405020304"/>
    <w:charset w:val="00"/>
    <w:family w:val="roman"/>
    <w:pitch w:val="variable"/>
    <w:sig w:usb0="00000007" w:usb1="00000000" w:usb2="00000000" w:usb3="00000000" w:csb0="00000093"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241" w:rsidRDefault="00965241">
    <w:pPr>
      <w:spacing w:line="240" w:lineRule="exact"/>
    </w:pPr>
  </w:p>
  <w:p w:rsidR="00965241" w:rsidRDefault="00965241">
    <w:pPr>
      <w:rPr>
        <w:sz w:val="24"/>
      </w:rPr>
    </w:pPr>
    <w:r>
      <w:rPr>
        <w:rFonts w:ascii="WP TypographicSymbols" w:hAnsi="WP TypographicSymbols"/>
        <w:sz w:val="24"/>
      </w:rPr>
      <w:t>8</w:t>
    </w:r>
    <w:r>
      <w:rPr>
        <w:sz w:val="16"/>
        <w:szCs w:val="16"/>
      </w:rPr>
      <w:t xml:space="preserve"> 2000, Missouri School Boards' Association, Registered in U.S. Copyright Office</w:t>
    </w:r>
  </w:p>
  <w:p w:rsidR="00965241" w:rsidRDefault="00965241">
    <w:pPr>
      <w:spacing w:line="19" w:lineRule="exact"/>
      <w:rPr>
        <w:sz w:val="24"/>
      </w:rPr>
    </w:pPr>
    <w:r>
      <w:rPr>
        <w:noProof/>
      </w:rPr>
      <w:pict>
        <v:rect id="_x0000_s1025" style="position:absolute;margin-left:1in;margin-top:0;width:468pt;height:.95pt;z-index:-251659264;mso-position-horizontal-relative:page" o:allowincell="f" fillcolor="black" stroked="f" strokeweight="0">
          <v:fill color2="black"/>
          <w10:wrap anchorx="page"/>
          <w10:anchorlock/>
        </v:rect>
      </w:pict>
    </w:r>
  </w:p>
  <w:p w:rsidR="00965241" w:rsidRDefault="00965241">
    <w:pPr>
      <w:tabs>
        <w:tab w:val="right" w:pos="9360"/>
      </w:tabs>
      <w:rPr>
        <w:sz w:val="24"/>
      </w:rPr>
    </w:pPr>
    <w:r>
      <w:rPr>
        <w:sz w:val="24"/>
      </w:rPr>
      <w:t xml:space="preserve">Page </w:t>
    </w:r>
    <w:r>
      <w:rPr>
        <w:sz w:val="24"/>
      </w:rPr>
      <w:fldChar w:fldCharType="begin"/>
    </w:r>
    <w:r>
      <w:rPr>
        <w:sz w:val="24"/>
      </w:rPr>
      <w:instrText xml:space="preserve">PAGE </w:instrText>
    </w:r>
    <w:r>
      <w:rPr>
        <w:sz w:val="24"/>
      </w:rPr>
      <w:fldChar w:fldCharType="separate"/>
    </w:r>
    <w:r w:rsidR="00F84E3E">
      <w:rPr>
        <w:noProof/>
        <w:sz w:val="24"/>
      </w:rPr>
      <w:t>2</w:t>
    </w:r>
    <w:r>
      <w:rPr>
        <w:sz w:val="24"/>
      </w:rPr>
      <w:fldChar w:fldCharType="end"/>
    </w:r>
    <w:r>
      <w:rPr>
        <w:sz w:val="24"/>
      </w:rPr>
      <w:tab/>
    </w:r>
    <w:r>
      <w:rPr>
        <w:i/>
        <w:iCs/>
        <w:sz w:val="14"/>
        <w:szCs w:val="14"/>
      </w:rPr>
      <w:t>For Office Use Only:  IGDJ-C.1D (3/00)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241" w:rsidRDefault="00965241">
    <w:pPr>
      <w:spacing w:line="240" w:lineRule="exact"/>
    </w:pPr>
  </w:p>
  <w:p w:rsidR="00965241" w:rsidRDefault="00965241">
    <w:pPr>
      <w:rPr>
        <w:sz w:val="24"/>
      </w:rPr>
    </w:pPr>
    <w:r>
      <w:rPr>
        <w:rFonts w:ascii="WP TypographicSymbols" w:hAnsi="WP TypographicSymbols"/>
        <w:sz w:val="24"/>
      </w:rPr>
      <w:t>8</w:t>
    </w:r>
    <w:r>
      <w:rPr>
        <w:sz w:val="16"/>
        <w:szCs w:val="16"/>
      </w:rPr>
      <w:t xml:space="preserve"> 2000, Missouri School Boards' Association, Registered in U.S. Copyright Office</w:t>
    </w:r>
  </w:p>
  <w:p w:rsidR="00965241" w:rsidRDefault="00965241">
    <w:pPr>
      <w:spacing w:line="19" w:lineRule="exact"/>
      <w:rPr>
        <w:sz w:val="24"/>
      </w:rPr>
    </w:pPr>
    <w:r>
      <w:rPr>
        <w:noProof/>
      </w:rPr>
      <w:pict>
        <v:rect id="_x0000_s1026" style="position:absolute;margin-left:1in;margin-top:0;width:468pt;height:.95pt;z-index:-251658240;mso-position-horizontal-relative:page" o:allowincell="f" fillcolor="black" stroked="f" strokeweight="0">
          <v:fill color2="black"/>
          <w10:wrap anchorx="page"/>
          <w10:anchorlock/>
        </v:rect>
      </w:pict>
    </w:r>
  </w:p>
  <w:p w:rsidR="00965241" w:rsidRDefault="00965241">
    <w:pPr>
      <w:tabs>
        <w:tab w:val="right" w:pos="9360"/>
      </w:tabs>
      <w:rPr>
        <w:sz w:val="24"/>
      </w:rPr>
    </w:pPr>
    <w:r>
      <w:rPr>
        <w:i/>
        <w:iCs/>
        <w:sz w:val="14"/>
        <w:szCs w:val="14"/>
      </w:rPr>
      <w:t>For Office Use Only:  IGDJ-C.1D (3/00)</w:t>
    </w:r>
    <w:r>
      <w:rPr>
        <w:sz w:val="24"/>
      </w:rPr>
      <w:tab/>
      <w:t xml:space="preserve">Page </w:t>
    </w:r>
    <w:r>
      <w:rPr>
        <w:sz w:val="24"/>
      </w:rPr>
      <w:fldChar w:fldCharType="begin"/>
    </w:r>
    <w:r>
      <w:rPr>
        <w:sz w:val="24"/>
      </w:rPr>
      <w:instrText xml:space="preserve">PAGE </w:instrText>
    </w:r>
    <w:r>
      <w:rPr>
        <w:sz w:val="24"/>
      </w:rPr>
      <w:fldChar w:fldCharType="separate"/>
    </w:r>
    <w:r w:rsidR="00F84E3E">
      <w:rPr>
        <w:noProof/>
        <w:sz w:val="24"/>
      </w:rPr>
      <w:t>1</w:t>
    </w:r>
    <w:r>
      <w:rPr>
        <w:sz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241" w:rsidRDefault="00965241">
      <w:r>
        <w:separator/>
      </w:r>
    </w:p>
  </w:footnote>
  <w:footnote w:type="continuationSeparator" w:id="0">
    <w:p w:rsidR="00965241" w:rsidRDefault="009652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241" w:rsidRDefault="00965241">
    <w:pPr>
      <w:tabs>
        <w:tab w:val="right" w:pos="9360"/>
      </w:tabs>
      <w:rPr>
        <w:sz w:val="24"/>
      </w:rPr>
    </w:pPr>
    <w:r>
      <w:rPr>
        <w:sz w:val="24"/>
        <w:u w:val="single"/>
      </w:rPr>
      <w:t>FILE</w:t>
    </w:r>
    <w:r>
      <w:rPr>
        <w:sz w:val="24"/>
      </w:rPr>
      <w:t>:  IGDJ</w:t>
    </w:r>
    <w:r>
      <w:rPr>
        <w:sz w:val="24"/>
      </w:rPr>
      <w:tab/>
    </w:r>
  </w:p>
  <w:p w:rsidR="00965241" w:rsidRDefault="00965241">
    <w:pPr>
      <w:rPr>
        <w:sz w:val="24"/>
      </w:rPr>
    </w:pPr>
    <w:r>
      <w:rPr>
        <w:sz w:val="24"/>
      </w:rPr>
      <w:t>Critical</w:t>
    </w:r>
  </w:p>
  <w:p w:rsidR="00965241" w:rsidRDefault="00965241">
    <w:pPr>
      <w:rPr>
        <w:sz w:val="24"/>
      </w:rPr>
    </w:pPr>
  </w:p>
  <w:p w:rsidR="00965241" w:rsidRDefault="00965241">
    <w:pPr>
      <w:spacing w:line="240" w:lineRule="exact"/>
      <w:rPr>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241" w:rsidRDefault="00965241">
    <w:pPr>
      <w:tabs>
        <w:tab w:val="right" w:pos="9360"/>
      </w:tabs>
      <w:rPr>
        <w:sz w:val="24"/>
      </w:rPr>
    </w:pPr>
    <w:r>
      <w:rPr>
        <w:sz w:val="24"/>
      </w:rPr>
      <w:tab/>
    </w:r>
    <w:r>
      <w:rPr>
        <w:sz w:val="24"/>
        <w:u w:val="single"/>
      </w:rPr>
      <w:t>FILE</w:t>
    </w:r>
    <w:r>
      <w:rPr>
        <w:sz w:val="24"/>
      </w:rPr>
      <w:t>:  IGDJ</w:t>
    </w:r>
  </w:p>
  <w:p w:rsidR="00965241" w:rsidRDefault="00965241">
    <w:pPr>
      <w:tabs>
        <w:tab w:val="right" w:pos="9360"/>
      </w:tabs>
      <w:rPr>
        <w:sz w:val="24"/>
      </w:rPr>
    </w:pPr>
    <w:r>
      <w:rPr>
        <w:sz w:val="24"/>
      </w:rPr>
      <w:tab/>
      <w:t>Basic</w:t>
    </w:r>
  </w:p>
  <w:p w:rsidR="00965241" w:rsidRDefault="00965241">
    <w:pPr>
      <w:rPr>
        <w:sz w:val="24"/>
      </w:rPr>
    </w:pPr>
  </w:p>
  <w:p w:rsidR="00965241" w:rsidRDefault="00965241">
    <w:pPr>
      <w:spacing w:line="240" w:lineRule="exact"/>
      <w:rPr>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5B41FF"/>
    <w:multiLevelType w:val="hybridMultilevel"/>
    <w:tmpl w:val="803ABE0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bordersDoNotSurroundHeader/>
  <w:bordersDoNotSurroundFooter/>
  <w:proofState w:spelling="clean" w:grammar="clean"/>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o:shapelayout v:ext="edit">
      <o:idmap v:ext="edit" data="1"/>
    </o:shapelayout>
  </w:hdrShapeDefaults>
  <w:footnotePr>
    <w:footnote w:id="-1"/>
    <w:footnote w:id="0"/>
  </w:footnotePr>
  <w:endnotePr>
    <w:numFmt w:val="decimal"/>
    <w:endnote w:id="-1"/>
    <w:endnote w:id="0"/>
  </w:endnotePr>
  <w:compat/>
  <w:rsids>
    <w:rsidRoot w:val="00965241"/>
    <w:rsid w:val="00965241"/>
    <w:rsid w:val="00CA6337"/>
    <w:rsid w:val="00F84E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G Times" w:hAnsi="CG Times"/>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515</Words>
  <Characters>2878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Jefferson C-123 Schools</Company>
  <LinksUpToDate>false</LinksUpToDate>
  <CharactersWithSpaces>3387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StruShar</dc:creator>
  <cp:keywords/>
  <dc:description/>
  <cp:lastModifiedBy>ebrown</cp:lastModifiedBy>
  <cp:revision>3</cp:revision>
  <dcterms:created xsi:type="dcterms:W3CDTF">2009-06-16T13:39:00Z</dcterms:created>
  <dcterms:modified xsi:type="dcterms:W3CDTF">2009-06-16T13:40:00Z</dcterms:modified>
</cp:coreProperties>
</file>